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77D" w:rsidRDefault="003E777D" w:rsidP="009F1E20">
      <w:pPr>
        <w:spacing w:after="0" w:line="240" w:lineRule="auto"/>
        <w:ind w:firstLine="709"/>
        <w:jc w:val="center"/>
        <w:rPr>
          <w:rFonts w:ascii="Times New Roman" w:hAnsi="Times New Roman" w:cs="Times New Roman"/>
          <w:b/>
          <w:sz w:val="28"/>
          <w:szCs w:val="28"/>
        </w:rPr>
      </w:pPr>
    </w:p>
    <w:p w:rsidR="003E777D" w:rsidRDefault="003E777D" w:rsidP="009F1E20">
      <w:pPr>
        <w:spacing w:after="0" w:line="240" w:lineRule="auto"/>
        <w:ind w:firstLine="709"/>
        <w:jc w:val="center"/>
        <w:rPr>
          <w:rFonts w:ascii="Times New Roman" w:hAnsi="Times New Roman" w:cs="Times New Roman"/>
          <w:b/>
          <w:sz w:val="28"/>
          <w:szCs w:val="28"/>
        </w:rPr>
      </w:pPr>
    </w:p>
    <w:p w:rsidR="003E777D" w:rsidRDefault="003E777D" w:rsidP="009F1E20">
      <w:pPr>
        <w:spacing w:after="0" w:line="240" w:lineRule="auto"/>
        <w:ind w:firstLine="709"/>
        <w:jc w:val="center"/>
        <w:rPr>
          <w:rFonts w:ascii="Times New Roman" w:hAnsi="Times New Roman" w:cs="Times New Roman"/>
          <w:b/>
          <w:sz w:val="28"/>
          <w:szCs w:val="28"/>
        </w:rPr>
      </w:pPr>
    </w:p>
    <w:p w:rsidR="003E777D" w:rsidRDefault="003E777D" w:rsidP="009F1E20">
      <w:pPr>
        <w:spacing w:after="0" w:line="240" w:lineRule="auto"/>
        <w:ind w:firstLine="709"/>
        <w:jc w:val="center"/>
        <w:rPr>
          <w:rFonts w:ascii="Times New Roman" w:hAnsi="Times New Roman" w:cs="Times New Roman"/>
          <w:b/>
          <w:sz w:val="28"/>
          <w:szCs w:val="28"/>
        </w:rPr>
      </w:pPr>
    </w:p>
    <w:p w:rsidR="003E777D" w:rsidRDefault="003E777D" w:rsidP="009F1E20">
      <w:pPr>
        <w:spacing w:after="0" w:line="240" w:lineRule="auto"/>
        <w:ind w:firstLine="709"/>
        <w:jc w:val="center"/>
        <w:rPr>
          <w:rFonts w:ascii="Times New Roman" w:hAnsi="Times New Roman" w:cs="Times New Roman"/>
          <w:b/>
          <w:sz w:val="28"/>
          <w:szCs w:val="28"/>
        </w:rPr>
      </w:pPr>
    </w:p>
    <w:p w:rsidR="003E777D" w:rsidRDefault="003E777D" w:rsidP="009F1E20">
      <w:pPr>
        <w:spacing w:after="0" w:line="240" w:lineRule="auto"/>
        <w:ind w:firstLine="709"/>
        <w:jc w:val="center"/>
        <w:rPr>
          <w:rFonts w:ascii="Times New Roman" w:hAnsi="Times New Roman" w:cs="Times New Roman"/>
          <w:b/>
          <w:sz w:val="28"/>
          <w:szCs w:val="28"/>
        </w:rPr>
      </w:pPr>
    </w:p>
    <w:p w:rsidR="003E777D" w:rsidRDefault="003E777D" w:rsidP="009F1E20">
      <w:pPr>
        <w:spacing w:after="0" w:line="240" w:lineRule="auto"/>
        <w:ind w:firstLine="709"/>
        <w:jc w:val="center"/>
        <w:rPr>
          <w:rFonts w:ascii="Times New Roman" w:hAnsi="Times New Roman" w:cs="Times New Roman"/>
          <w:b/>
          <w:sz w:val="28"/>
          <w:szCs w:val="28"/>
        </w:rPr>
      </w:pPr>
    </w:p>
    <w:p w:rsidR="003E777D" w:rsidRDefault="003E777D" w:rsidP="009F1E20">
      <w:pPr>
        <w:spacing w:after="0" w:line="240" w:lineRule="auto"/>
        <w:ind w:firstLine="709"/>
        <w:jc w:val="center"/>
        <w:rPr>
          <w:rFonts w:ascii="Times New Roman" w:hAnsi="Times New Roman" w:cs="Times New Roman"/>
          <w:b/>
          <w:sz w:val="28"/>
          <w:szCs w:val="28"/>
        </w:rPr>
      </w:pPr>
    </w:p>
    <w:p w:rsidR="003E777D" w:rsidRDefault="003E777D" w:rsidP="009F1E20">
      <w:pPr>
        <w:spacing w:after="0" w:line="240" w:lineRule="auto"/>
        <w:ind w:firstLine="709"/>
        <w:jc w:val="center"/>
        <w:rPr>
          <w:rFonts w:ascii="Times New Roman" w:hAnsi="Times New Roman" w:cs="Times New Roman"/>
          <w:b/>
          <w:sz w:val="28"/>
          <w:szCs w:val="28"/>
        </w:rPr>
      </w:pPr>
    </w:p>
    <w:p w:rsidR="003E777D" w:rsidRPr="009C1174" w:rsidRDefault="003E777D" w:rsidP="009F1E20">
      <w:pPr>
        <w:spacing w:after="0" w:line="240" w:lineRule="auto"/>
        <w:ind w:firstLine="709"/>
        <w:jc w:val="center"/>
        <w:rPr>
          <w:rFonts w:ascii="Times New Roman" w:hAnsi="Times New Roman" w:cs="Times New Roman"/>
          <w:b/>
          <w:sz w:val="28"/>
          <w:szCs w:val="28"/>
        </w:rPr>
      </w:pPr>
      <w:r w:rsidRPr="009C1174">
        <w:rPr>
          <w:rFonts w:ascii="Times New Roman" w:hAnsi="Times New Roman" w:cs="Times New Roman"/>
          <w:b/>
          <w:sz w:val="28"/>
          <w:szCs w:val="28"/>
        </w:rPr>
        <w:t>О внесении изменений в приказ Министра финансов</w:t>
      </w:r>
    </w:p>
    <w:p w:rsidR="003E777D" w:rsidRPr="009C1174" w:rsidRDefault="003E777D" w:rsidP="009F1E20">
      <w:pPr>
        <w:spacing w:after="0" w:line="240" w:lineRule="auto"/>
        <w:ind w:firstLine="709"/>
        <w:jc w:val="center"/>
        <w:rPr>
          <w:rFonts w:ascii="Times New Roman" w:hAnsi="Times New Roman" w:cs="Times New Roman"/>
          <w:b/>
          <w:sz w:val="28"/>
          <w:szCs w:val="28"/>
        </w:rPr>
      </w:pPr>
      <w:r w:rsidRPr="009C1174">
        <w:rPr>
          <w:rFonts w:ascii="Times New Roman" w:hAnsi="Times New Roman" w:cs="Times New Roman"/>
          <w:b/>
          <w:sz w:val="28"/>
          <w:szCs w:val="28"/>
        </w:rPr>
        <w:t>Республики Казахстан от 16 февраля 2018 года № 210</w:t>
      </w:r>
    </w:p>
    <w:p w:rsidR="003E777D" w:rsidRPr="009C1174" w:rsidRDefault="003E777D" w:rsidP="009F1E20">
      <w:pPr>
        <w:spacing w:after="0" w:line="240" w:lineRule="auto"/>
        <w:ind w:firstLine="709"/>
        <w:jc w:val="center"/>
        <w:rPr>
          <w:rFonts w:ascii="Times New Roman" w:hAnsi="Times New Roman" w:cs="Times New Roman"/>
          <w:b/>
          <w:sz w:val="28"/>
          <w:szCs w:val="28"/>
        </w:rPr>
      </w:pPr>
      <w:r w:rsidRPr="009C1174">
        <w:rPr>
          <w:rFonts w:ascii="Times New Roman" w:hAnsi="Times New Roman" w:cs="Times New Roman"/>
          <w:b/>
          <w:sz w:val="28"/>
          <w:szCs w:val="28"/>
        </w:rPr>
        <w:t>«Об утверждении Правил принятия и формы решения</w:t>
      </w:r>
    </w:p>
    <w:p w:rsidR="003E777D" w:rsidRPr="009C1174" w:rsidRDefault="003E777D" w:rsidP="009F1E20">
      <w:pPr>
        <w:spacing w:after="0" w:line="240" w:lineRule="auto"/>
        <w:ind w:firstLine="709"/>
        <w:jc w:val="center"/>
        <w:rPr>
          <w:rFonts w:ascii="Times New Roman" w:hAnsi="Times New Roman" w:cs="Times New Roman"/>
          <w:sz w:val="28"/>
          <w:szCs w:val="28"/>
        </w:rPr>
      </w:pPr>
      <w:r w:rsidRPr="009C1174">
        <w:rPr>
          <w:rFonts w:ascii="Times New Roman" w:hAnsi="Times New Roman" w:cs="Times New Roman"/>
          <w:b/>
          <w:sz w:val="28"/>
          <w:szCs w:val="28"/>
        </w:rPr>
        <w:t>о классификации товаров»</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ab/>
      </w:r>
    </w:p>
    <w:p w:rsidR="003E777D" w:rsidRPr="009C1174" w:rsidRDefault="003E777D" w:rsidP="009F1E20">
      <w:pPr>
        <w:spacing w:after="0" w:line="240" w:lineRule="auto"/>
        <w:ind w:firstLine="709"/>
        <w:jc w:val="both"/>
        <w:rPr>
          <w:rFonts w:ascii="Times New Roman" w:hAnsi="Times New Roman" w:cs="Times New Roman"/>
          <w:sz w:val="28"/>
          <w:szCs w:val="28"/>
        </w:rPr>
      </w:pPr>
    </w:p>
    <w:p w:rsidR="003E777D" w:rsidRPr="009C1174" w:rsidRDefault="003E777D" w:rsidP="009F1E20">
      <w:pPr>
        <w:spacing w:after="0" w:line="240" w:lineRule="auto"/>
        <w:ind w:firstLine="709"/>
        <w:jc w:val="both"/>
        <w:rPr>
          <w:rFonts w:ascii="Times New Roman" w:hAnsi="Times New Roman" w:cs="Times New Roman"/>
          <w:b/>
          <w:sz w:val="28"/>
          <w:szCs w:val="28"/>
        </w:rPr>
      </w:pPr>
      <w:r w:rsidRPr="009C1174">
        <w:rPr>
          <w:rFonts w:ascii="Times New Roman" w:hAnsi="Times New Roman" w:cs="Times New Roman"/>
          <w:b/>
          <w:sz w:val="28"/>
          <w:szCs w:val="28"/>
        </w:rPr>
        <w:t>ПРИКАЗЫВАЮ:</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1. Внести в приказ Министра финансов Республики Казахстан </w:t>
      </w:r>
      <w:r w:rsidRPr="009C1174">
        <w:rPr>
          <w:rFonts w:ascii="Times New Roman" w:hAnsi="Times New Roman" w:cs="Times New Roman"/>
          <w:sz w:val="28"/>
          <w:szCs w:val="28"/>
        </w:rPr>
        <w:br/>
        <w:t>от 16 февраля 2018 года № 210 «Об утверждении Правил принятия и формы решения о классификации товаров» (зарегистрирован в Реестре государственной регистрации нормативных правовых актов под № 16482) следующие изменения:</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преамбулу изложить в следующей редакции:</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«В соответствии с подпунктом 1) пункта 3 статьи 40 Кодекса Республики Казахстан «О таможенном регулировании в Республике Казахстан» </w:t>
      </w:r>
      <w:r w:rsidRPr="009C1174">
        <w:rPr>
          <w:rFonts w:ascii="Times New Roman" w:hAnsi="Times New Roman" w:cs="Times New Roman"/>
          <w:b/>
          <w:sz w:val="28"/>
          <w:szCs w:val="28"/>
        </w:rPr>
        <w:t>ПРИКАЗЫВАЮ:</w:t>
      </w:r>
      <w:r w:rsidRPr="009C1174">
        <w:rPr>
          <w:rFonts w:ascii="Times New Roman" w:hAnsi="Times New Roman" w:cs="Times New Roman"/>
          <w:sz w:val="28"/>
          <w:szCs w:val="28"/>
        </w:rPr>
        <w:t>»;</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Правилах принятия решения о классификации товаров, утвержденных указанным приказом:</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часть вторую пункта 5 изложить в следующей редакции:</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«При этом органом государственных доходов посредством цифровой системы декларанту и (или) таможенному представителю направляется уведомление о назначенных СУР мерах по предотвращению и (или) минимизации рисков.»;</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пункт 6 изложить в следующей редакции: </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«6. Применение мер по предотвращению и (или) минимизации рисков по классификации товаров, определенных СУР, осуществляется УДЛ с учетом следующих положений:</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1) при проведении таможенного контроля в виде проверки таможенных, иных документов и (или) сведений, декларанту и (или) таможенному представителю посредством цифровой системы направляется запрос о необходимости представления документов, подтверждающих сведения, заявленные в графе 33 декларации на товары (далее – ДТ), утвержденной Решением Комиссии </w:t>
      </w:r>
      <w:r w:rsidRPr="009C1174">
        <w:rPr>
          <w:rFonts w:ascii="Times New Roman" w:hAnsi="Times New Roman" w:cs="Times New Roman"/>
          <w:sz w:val="28"/>
          <w:szCs w:val="28"/>
        </w:rPr>
        <w:lastRenderedPageBreak/>
        <w:t xml:space="preserve">таможенного союза от 20 мая 2010 года № 257 </w:t>
      </w:r>
      <w:r w:rsidRPr="009C1174">
        <w:rPr>
          <w:rFonts w:ascii="Times New Roman" w:hAnsi="Times New Roman" w:cs="Times New Roman"/>
          <w:sz w:val="28"/>
          <w:szCs w:val="28"/>
        </w:rPr>
        <w:br/>
        <w:t>«Об Инструкциях по заполнению таможенных деклараций и формах таможенных деклараций».</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Проверка запрошенных документов, которые предоставляются декларантом и (или) таможенным представителем в электронном виде или на бумажных носителях, осуществляется УДЛ в порядке и сроки, установленные статьей 410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случае представления запрошенных документов и завершения их проверки до выпуска товара, когда результаты таможенного контроля подтверждают достоверность и (или) полноту проверяемых сведений, УДЛ осуществляет выпуск товара в соответствии со статьями 192, 193 Кодекса и вносит результаты контроля во вкладку «Контроль СУР» цифровой системы путем выбора соответствующего результата в ячейке «Результаты контроля».</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случае представления декларантом и (или) таможенным представителем запрошенных документов, не подтверждающих сведения, заявленные в ДТ до выпуска товаров, УДЛ:</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принимает решение о классификации товара, которое подписывается руководителем территориального органа государственных доходов либо лицом его замещающим, и не позднее 1 (одного) рабочего дня, следующего за днем принятия такого решения, посредством </w:t>
      </w:r>
      <w:r w:rsidR="009C1174" w:rsidRPr="009C1174">
        <w:rPr>
          <w:rFonts w:ascii="Times New Roman" w:hAnsi="Times New Roman" w:cs="Times New Roman"/>
          <w:sz w:val="28"/>
          <w:szCs w:val="28"/>
        </w:rPr>
        <w:t>информационной</w:t>
      </w:r>
      <w:r w:rsidRPr="009C1174">
        <w:rPr>
          <w:rFonts w:ascii="Times New Roman" w:hAnsi="Times New Roman" w:cs="Times New Roman"/>
          <w:sz w:val="28"/>
          <w:szCs w:val="28"/>
        </w:rPr>
        <w:t xml:space="preserve"> системы извещает декларанта и таможенного представителя о принятии решения о классификации товаров;</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выставляет требование о внесении изменений (дополнений) в сведения, заявленные в ДТ, по форме, установленной приложением № 2 Решения Коллегии Евразийской экономической комиссии от 10 декабря 2013 года № 289 </w:t>
      </w:r>
      <w:r w:rsidRPr="009C1174">
        <w:rPr>
          <w:rFonts w:ascii="Times New Roman" w:hAnsi="Times New Roman" w:cs="Times New Roman"/>
          <w:sz w:val="28"/>
          <w:szCs w:val="28"/>
        </w:rPr>
        <w:br/>
        <w:t xml:space="preserve">«О внесении изменений и (или) дополнений в сведения, указанные в декларации на товары, и признании утратившими силу некоторых решений Комиссии Таможенного союза и Коллегии Евразийской экономической комиссии» </w:t>
      </w:r>
      <w:r w:rsidRPr="009C1174">
        <w:rPr>
          <w:rFonts w:ascii="Times New Roman" w:hAnsi="Times New Roman" w:cs="Times New Roman"/>
          <w:sz w:val="28"/>
          <w:szCs w:val="28"/>
        </w:rPr>
        <w:br/>
        <w:t>(далее – Решение ЕЭК № 289);</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осуществляет выпуск товара в соответствии со статьями 192 и 193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принимает решение об отказе в выпуске товара в соответствии со </w:t>
      </w:r>
      <w:r w:rsidRPr="009C1174">
        <w:rPr>
          <w:rFonts w:ascii="Times New Roman" w:hAnsi="Times New Roman" w:cs="Times New Roman"/>
          <w:sz w:val="28"/>
          <w:szCs w:val="28"/>
        </w:rPr>
        <w:br/>
        <w:t>статьей 201 Кодекса путем направления электронного документа либо путем проставления соответствующих отметок на таможенной декларации на бумажном носителе или на заявлении о выпуске товаров до подачи декларации на товары, поданном на бумажном носителе. При оформлении отказа в выпуске товаров указываются все причины, послужившие основанием для такого отказа.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случае, если проверка таможенных, иных документов (или) сведений не завершается в сроки выпуска товаров, установленные статьей 193 Кодекса, УДЛ информирует декларанта и таможенного представителя о возможности произвести выпуск товаров в соответствии со статьей 195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lastRenderedPageBreak/>
        <w:t xml:space="preserve">При этом УДЛ посредством цифровой системы направляет декларанту и таможенному представителю расчет размера обеспечения исполнения обязанности по уплате таможенных пошлин, налогов, специальных, антидемпинговых, компенсационных пошлин согласно Порядку заполнения расчета размера обеспечения исполнения обязанности по уплате таможенных пошлин, налогов, специальных, антидемпинговых, компенсационных пошлин, утвержденному Решением Коллегии Евразийской экономической комиссии </w:t>
      </w:r>
      <w:r w:rsidRPr="009C1174">
        <w:rPr>
          <w:rFonts w:ascii="Times New Roman" w:hAnsi="Times New Roman" w:cs="Times New Roman"/>
          <w:sz w:val="28"/>
          <w:szCs w:val="28"/>
        </w:rPr>
        <w:br/>
        <w:t>от 4 сентября 2017 года № 112 «О расчете размера обеспечения исполнения обязанности по уплате таможенных пошлин, налогов, специальных, антидемпинговых, компенсационных пошлин» (далее – Решение ЕЭК № 112).</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При внесении декларантом и (или) таможенным представителем указанного обеспечения исполнения обязанности по уплате таможенных пошлин, налогов, специальных, антидемпинговых, компенсационных пошлин, УДЛ посредством цифровой системы производит регистрацию обеспечения исполнения обязанности по уплате таможенных пошлин, налогов и осуществляет выпуск товаров до завершения проверки таможенных, иных документов и (или) сведений в соответствии со статьей 195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случае, если запрошенные документы и (или) сведения, либо объяснения причин, по которым такие документы и (или) сведения не могут быть представлены и (или) отсутствуют, не представлены в сроки, установленные пунктом 7 статьи 410 Кодекса, и не соблюдено условие, предусмотренное статьей 195 Кодекса, орган государственных доходов отказывает в выпуске товаров в соответствии со статьей 201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случае обнаружения органом государственных доходов признаков, указывающих на возможность применения в отношении товаров запретов и ограничений и (или)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статьями 46, 47, 48, 49 и 50 Договора о Евразийском экономическом союзе, ратифицированного Законом Республики Казахстан (далее – Договор о Союзе), осуществляется отказ в выпуске товаров путем направления электронного документа об отказе в выпуске товаров.</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При выпуске товаров в соответствии со статьей 195 Кодекса проверка таможенных, иных документов и (или) сведений завершается после выпуска товаров в соответствии с пунктами 14, 15, 16, 17, 18, 19 и 20 статьи 410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2) при наличии рекомендаций по предотвращению и минимизации рисков, связанных с проведением таможенной экспертизы, УДЛ назначает таможенную экспертизу в соответствии с главой 54 Кодекса и посредством цифровой системы направляет запрос декларанту и (или) таможенному представителю о необходимости предоставления образцов декларируемых товаров, </w:t>
      </w:r>
      <w:r w:rsidRPr="009C1174">
        <w:rPr>
          <w:rFonts w:ascii="Times New Roman" w:hAnsi="Times New Roman" w:cs="Times New Roman"/>
          <w:sz w:val="28"/>
          <w:szCs w:val="28"/>
        </w:rPr>
        <w:lastRenderedPageBreak/>
        <w:t>подтверждающих сведения, заявленные в графе 33 ДТ, для проведения таможенной экспертизы.</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Отбор проб и (или) образцов товаров, изъятие таможенных, транспортных (перевозочных), коммерческих и иных документов, средств идентификации таких товаров и документов для проведения таможенной экспертизы осуществляется в соответствии со статьей 471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случае, если таможенная экспертиза завершается в сроки выпуска товаров, предусмотренных статьей 193 Кодекса, по итогам акта таможенной экспертизы УДЛ, при подтверждении заявленного классификационного кода по ТН ВЭД, осуществляет выпуск товара в соответствии со статьей 193 Кодекса и вносит результаты контроля во вкладку «Контроль СУР» цифровой системы путем выбора соответствующего результата в ячейке «Результаты контроля».</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При не подтверждении заявленного классификационного кода по ТН ВЭД УДЛ принимает:</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решение о классификации товаров, которое подписывается руководителем территориального органа государственных доходов либо лицом его замещающим, не позднее 1 (одного) рабочего дня посредством </w:t>
      </w:r>
      <w:r w:rsidR="009C1174" w:rsidRPr="009C1174">
        <w:rPr>
          <w:rFonts w:ascii="Times New Roman" w:hAnsi="Times New Roman" w:cs="Times New Roman"/>
          <w:sz w:val="28"/>
          <w:szCs w:val="28"/>
        </w:rPr>
        <w:t>информационной</w:t>
      </w:r>
      <w:r w:rsidRPr="009C1174">
        <w:rPr>
          <w:rFonts w:ascii="Times New Roman" w:hAnsi="Times New Roman" w:cs="Times New Roman"/>
          <w:sz w:val="28"/>
          <w:szCs w:val="28"/>
        </w:rPr>
        <w:t xml:space="preserve"> системы извещает декларанта и (или) таможенного представителя о принятии решения о классификации товаров и выставляет требование о внесении изменений (дополнений) в сведения, заявленные в ДТ по форме, установленной приложением № 2 Решения ЕЭК;</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решение об отказе в выпуске товара в соответствии со статьей 201 Кодекса путем направления электронного документа либо путем проставления соответствующих отметок на таможенной декларации на бумажном носителе или на заявлении о выпуске товаров до подачи декларации на товары, поданном на бумажном носителе. При оформлении отказа в выпуске товаров указываются все причины, послужившие основанием для такого отказа.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случае, если таможенная экспертиза не завершается в сроки выпуска, установленные статьей 193 Кодекса, УДЛ посредством цифровой системы:</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информирует декларанта и (или) таможенного представителя о возможности произвести выпуск товаров в соответствии со статьей 196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направляет декларанту и (или) таможенному представителю расчет размера обеспечения исполнения обязанности по уплате таможенных пошлин, налогов, специальных, антидемпинговых, компенсационных пошлин согласно Решению ЕЭК № 112.</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При внесении декларантом и (или) таможенным представителем указанного обеспечения исполнения обязанности по уплате таможенных пошлин, налогов, специальных, антидемпинговых, компенсационных пошлин, УДЛ посредством цифровой системы производит регистрацию обеспечения исполнения обязанности по уплате таможенных пошлин, налогов и осуществляет выпуск товаров до </w:t>
      </w:r>
      <w:r w:rsidRPr="009C1174">
        <w:rPr>
          <w:rFonts w:ascii="Times New Roman" w:hAnsi="Times New Roman" w:cs="Times New Roman"/>
          <w:sz w:val="28"/>
          <w:szCs w:val="28"/>
        </w:rPr>
        <w:lastRenderedPageBreak/>
        <w:t>завершения таможенной экспертизы. При этом декларанту и (или) таможенному представителю посредством цифровой системы направляется уведомление о выпуске товаров.</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случае обнаружения органом государственных доходов признаков, указывающих на возможность применения в отношении товаров запретов и ограничений и (или), мер защиты внутреннего рынка, установленных в ином виде, чем специальные, антидемпинговые, компенсационные пошлины и (или), установленные в соответствии со статьями 46, 47, 48, 49 и 50 Договора о Союзе, осуществляется отказ в выпуске товаров путем направления электронного документа об отказе в выпуске товаров.</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Результаты проведения таможенной экспертизы, направляются для принятия решения о классификации товара в структурное подразделение, в должностные обязанности которого входят вопросы определения кода товаров в соответствии с ТН ВЭД для принятия решения о классификации товара;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3) при проведении таможенного досмотра товаров УДЛ посредством цифровой системы направляет декларанту (или) таможенному представителю уведомление о месте и времени проведения досмотра и осуществляет действия по проведению таможенного досмотра товаров в соответствии со статьей 413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Для проведения таможенного досмотра товаров УДЛ посредством цифровой системы направляет уведомление в специализированное подразделение (досмотровую группу), должностными лицами которого осуществляется таможенный досмотр.</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В случае если срок таможенного досмотра превышает сроки выпуска товаров, установленные пунктом 3 статьи 193 Кодекса, срок выпуска товаров продлевается на время, необходимое для завершения таможенного досмотра, но не превышающей срок, установленный пунктом 6 статьи 193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По результатам акта таможенного досмотра УДЛ при подтверждении заявленного классификационного кода по ТН ВЭД:</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осуществляет выпуск товара в соответствии со статьями 193 Кодекса и вносит результаты контроля во вкладку «Контроль СУР» цифровой системы путем выбора соответствующего результата в ячейке «Результаты контроля»;</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При не подтверждении заявленного классификационного кода по ТН ВЭД УДЛ осуществляет действия в соответствии с частями первой и второй подпункта 2) пункта 6 настоящих Правил и выносит:</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решение о классификации товаров, которое подписывается руководителем территориального органа государственных доходов либо лицом его замещающим и не позднее 1 (одного) рабочего дня посредством </w:t>
      </w:r>
      <w:r w:rsidR="009C1174" w:rsidRPr="009C1174">
        <w:rPr>
          <w:rFonts w:ascii="Times New Roman" w:hAnsi="Times New Roman" w:cs="Times New Roman"/>
          <w:sz w:val="28"/>
          <w:szCs w:val="28"/>
        </w:rPr>
        <w:t>информационной</w:t>
      </w:r>
      <w:r w:rsidRPr="009C1174">
        <w:rPr>
          <w:rFonts w:ascii="Times New Roman" w:hAnsi="Times New Roman" w:cs="Times New Roman"/>
          <w:sz w:val="28"/>
          <w:szCs w:val="28"/>
        </w:rPr>
        <w:t xml:space="preserve"> системы извещает декларанта и таможенного представителя о принятии решения о классификации товаров и выставляет требование о внесении изменений (дополнений) в сведения, заявленные в ДТ в соответствии со статьей 183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lastRenderedPageBreak/>
        <w:t>решение об отказе в выпуске товара в соответствии со статьей 201 Кодекса путем направления электронного документа об отказе в выпуске товаров;</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4) при назначении мер по минимизации в виде таможенной проверки УДЛ посредством цифровой системы в срок, установленный пунктом 1 статьи 193 Кодекса, направляет декларанту и (или) таможенному представителю уведомление о месте и времени проведения таможенной проверки и осуществляет соответствующие отметки в цифровой системе. При этом выпуск товаров осуществляется без представления обеспечения исполнения обязанности по уплате таможенных пошлин, налогов, специальных, антидемпинговых, компенсационных пошлин в соответствии с пунктом 2 статьи 195 Кодекса.»;</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пункт 9 изложить в следующей редакции:</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«9. Для завершения таможенного контроля по классификации товара по ТН ВЭД, запрошенные до выпуска документы и сведения представляются декларантом или таможенным представителем после выпуска товаров в срок, не превышающий 60 (шестидесяти) календарных дней со дня регистрации таможенной декларации.»;</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часть вторую пункта 10 изложить в следующей редакции:</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«Решение о классификации товара оформляется в двух экземплярах и подписывается руководителем территориального органа государственных доходов либо лицом его замещающим.»;</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приложение 2 к указанному приказу изложить в новой редакции согласно </w:t>
      </w:r>
      <w:proofErr w:type="gramStart"/>
      <w:r w:rsidRPr="009C1174">
        <w:rPr>
          <w:rFonts w:ascii="Times New Roman" w:hAnsi="Times New Roman" w:cs="Times New Roman"/>
          <w:sz w:val="28"/>
          <w:szCs w:val="28"/>
        </w:rPr>
        <w:t>приложению</w:t>
      </w:r>
      <w:proofErr w:type="gramEnd"/>
      <w:r w:rsidRPr="009C1174">
        <w:rPr>
          <w:rFonts w:ascii="Times New Roman" w:hAnsi="Times New Roman" w:cs="Times New Roman"/>
          <w:sz w:val="28"/>
          <w:szCs w:val="28"/>
        </w:rPr>
        <w:t xml:space="preserve"> к настоящему приказу.</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2.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1) государственную регистрацию настоящего приказа в Министерстве юстиции Республики Казахстан;</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 xml:space="preserve">2) размещение настоящего приказа на </w:t>
      </w:r>
      <w:proofErr w:type="spellStart"/>
      <w:r w:rsidRPr="009C1174">
        <w:rPr>
          <w:rFonts w:ascii="Times New Roman" w:hAnsi="Times New Roman" w:cs="Times New Roman"/>
          <w:sz w:val="28"/>
          <w:szCs w:val="28"/>
        </w:rPr>
        <w:t>интернет-ресурсе</w:t>
      </w:r>
      <w:proofErr w:type="spellEnd"/>
      <w:r w:rsidRPr="009C1174">
        <w:rPr>
          <w:rFonts w:ascii="Times New Roman" w:hAnsi="Times New Roman" w:cs="Times New Roman"/>
          <w:sz w:val="28"/>
          <w:szCs w:val="28"/>
        </w:rPr>
        <w:t xml:space="preserve"> Министерства финансов Республики Казахстан после дня его первого официального опубликования;</w:t>
      </w:r>
    </w:p>
    <w:p w:rsidR="003E777D" w:rsidRPr="009C1174" w:rsidRDefault="003E777D" w:rsidP="009F1E20">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rsidR="003E777D" w:rsidRDefault="003E777D" w:rsidP="008B600E">
      <w:pPr>
        <w:spacing w:after="0" w:line="240" w:lineRule="auto"/>
        <w:ind w:firstLine="709"/>
        <w:jc w:val="both"/>
        <w:rPr>
          <w:rFonts w:ascii="Times New Roman" w:hAnsi="Times New Roman" w:cs="Times New Roman"/>
          <w:sz w:val="28"/>
          <w:szCs w:val="28"/>
        </w:rPr>
      </w:pPr>
      <w:r w:rsidRPr="009C1174">
        <w:rPr>
          <w:rFonts w:ascii="Times New Roman" w:hAnsi="Times New Roman" w:cs="Times New Roman"/>
          <w:sz w:val="28"/>
          <w:szCs w:val="28"/>
        </w:rPr>
        <w:t>3. Настоящий приказ вводится в действие по истечении десяти календарных дней после дня его пер</w:t>
      </w:r>
      <w:r w:rsidR="008B600E">
        <w:rPr>
          <w:rFonts w:ascii="Times New Roman" w:hAnsi="Times New Roman" w:cs="Times New Roman"/>
          <w:sz w:val="28"/>
          <w:szCs w:val="28"/>
        </w:rPr>
        <w:t xml:space="preserve">вого официального опубликования, </w:t>
      </w:r>
      <w:r w:rsidRPr="009C1174">
        <w:rPr>
          <w:rFonts w:ascii="Times New Roman" w:hAnsi="Times New Roman" w:cs="Times New Roman"/>
          <w:sz w:val="28"/>
          <w:szCs w:val="28"/>
        </w:rPr>
        <w:t xml:space="preserve">за исключением абзацев пятого, шестого, девятого, десятого, одиннадцатого, восемнадцатого, девятнадцатого, двадцать третьего, двадцать пятого, двадцать девятого, тридцать второго, тридцать пятого, тридцать шестого, тридцать седьмого, тридцать восьмого, тридцать девятого, </w:t>
      </w:r>
      <w:bookmarkStart w:id="0" w:name="_GoBack"/>
      <w:bookmarkEnd w:id="0"/>
      <w:r w:rsidRPr="009C1174">
        <w:rPr>
          <w:rFonts w:ascii="Times New Roman" w:hAnsi="Times New Roman" w:cs="Times New Roman"/>
          <w:sz w:val="28"/>
          <w:szCs w:val="28"/>
        </w:rPr>
        <w:t>сорок третьего</w:t>
      </w:r>
      <w:r w:rsidR="005E373C" w:rsidRPr="009C1174">
        <w:rPr>
          <w:rFonts w:ascii="Times New Roman" w:hAnsi="Times New Roman" w:cs="Times New Roman"/>
          <w:sz w:val="28"/>
          <w:szCs w:val="28"/>
        </w:rPr>
        <w:t xml:space="preserve"> пункта 1 настоящего приказа,</w:t>
      </w:r>
      <w:r w:rsidRPr="009C1174">
        <w:rPr>
          <w:rFonts w:ascii="Times New Roman" w:hAnsi="Times New Roman" w:cs="Times New Roman"/>
          <w:sz w:val="28"/>
          <w:szCs w:val="28"/>
        </w:rPr>
        <w:t xml:space="preserve"> которые </w:t>
      </w:r>
      <w:r w:rsidRPr="009C1174">
        <w:rPr>
          <w:rFonts w:ascii="Times New Roman" w:hAnsi="Times New Roman" w:cs="Times New Roman"/>
          <w:sz w:val="28"/>
          <w:szCs w:val="28"/>
        </w:rPr>
        <w:lastRenderedPageBreak/>
        <w:t>вводятся в действие с 12 июля 2026 года</w:t>
      </w:r>
      <w:r w:rsidR="005E373C" w:rsidRPr="009C1174">
        <w:rPr>
          <w:rFonts w:ascii="Times New Roman" w:hAnsi="Times New Roman" w:cs="Times New Roman"/>
          <w:sz w:val="28"/>
          <w:szCs w:val="28"/>
        </w:rPr>
        <w:t xml:space="preserve"> и подлежит официальному опубликованию.</w:t>
      </w:r>
    </w:p>
    <w:p w:rsidR="004A1D89" w:rsidRDefault="004A1D89" w:rsidP="009F1E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с 12 июля 2026 года:</w:t>
      </w:r>
    </w:p>
    <w:p w:rsidR="004A1D89" w:rsidRDefault="004A1D89" w:rsidP="009F1E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абзацы тринадцатый, двадцать седьмой и сорок первый пункта 1 настоящего приказа действуют в следующей редакции:</w:t>
      </w:r>
    </w:p>
    <w:p w:rsidR="004A1D89" w:rsidRDefault="004A1D89" w:rsidP="009F1E2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A1D89">
        <w:rPr>
          <w:rFonts w:ascii="Times New Roman" w:hAnsi="Times New Roman" w:cs="Times New Roman"/>
          <w:sz w:val="28"/>
          <w:szCs w:val="28"/>
        </w:rPr>
        <w:t>принимает решение о классификации товара, которое подписывается руководителем территориального органа государственных доходов либо лицом его замещающим, и не позднее 1 (одного) рабочего дня, следующего за днем принятия такого решения, посредством цифровой системы извещает декларанта и таможенного представителя о принятии решения о классификации товаров;</w:t>
      </w:r>
    </w:p>
    <w:p w:rsidR="004A1D89" w:rsidRDefault="004A1D89" w:rsidP="009F1E20">
      <w:pPr>
        <w:spacing w:after="0" w:line="240" w:lineRule="auto"/>
        <w:ind w:firstLine="709"/>
        <w:jc w:val="both"/>
        <w:rPr>
          <w:rFonts w:ascii="Times New Roman" w:hAnsi="Times New Roman" w:cs="Times New Roman"/>
          <w:sz w:val="28"/>
          <w:szCs w:val="28"/>
        </w:rPr>
      </w:pPr>
      <w:r w:rsidRPr="004A1D89">
        <w:rPr>
          <w:rFonts w:ascii="Times New Roman" w:hAnsi="Times New Roman" w:cs="Times New Roman"/>
          <w:sz w:val="28"/>
          <w:szCs w:val="28"/>
        </w:rPr>
        <w:t>решение о классификации товаров, которое подписывается руководителем территориального органа государственных доходов либо лицом его замещающим, не позднее 1 (одного) рабочего дня посредством цифровой системы извещает декларанта и (или) таможенного представителя о принятии решения о классификации товаров и выставляет требование о внесении изменений (дополнений) в сведения, заявленные в ДТ по форме, установленной приложением № 2 Решения ЕЭК;</w:t>
      </w:r>
    </w:p>
    <w:p w:rsidR="004A1D89" w:rsidRPr="009C1174" w:rsidRDefault="004A1D89" w:rsidP="009F1E20">
      <w:pPr>
        <w:spacing w:after="0" w:line="240" w:lineRule="auto"/>
        <w:ind w:firstLine="709"/>
        <w:jc w:val="both"/>
        <w:rPr>
          <w:rFonts w:ascii="Times New Roman" w:hAnsi="Times New Roman" w:cs="Times New Roman"/>
          <w:sz w:val="28"/>
          <w:szCs w:val="28"/>
        </w:rPr>
      </w:pPr>
      <w:r w:rsidRPr="004A1D89">
        <w:rPr>
          <w:rFonts w:ascii="Times New Roman" w:hAnsi="Times New Roman" w:cs="Times New Roman"/>
          <w:sz w:val="28"/>
          <w:szCs w:val="28"/>
        </w:rPr>
        <w:t>решение о классификации товаров, которое подписывается руководителем территориального органа государственных доходов либо лицом его замещающим и не позднее 1 (одного) рабочего дня посредством цифровой системы извещает декларанта и таможенного представителя о принятии решения о классификации товаров и выставляет требование о внесении изменений (дополнений) в сведения, заявленные в ДТ в соответствии со статьей 183 Кодекса;</w:t>
      </w:r>
      <w:r>
        <w:rPr>
          <w:rFonts w:ascii="Times New Roman" w:hAnsi="Times New Roman" w:cs="Times New Roman"/>
          <w:sz w:val="28"/>
          <w:szCs w:val="28"/>
        </w:rPr>
        <w:t>».</w:t>
      </w:r>
    </w:p>
    <w:p w:rsidR="003E777D" w:rsidRPr="009C1174" w:rsidRDefault="003E777D" w:rsidP="009F1E20">
      <w:pPr>
        <w:spacing w:after="0" w:line="240" w:lineRule="auto"/>
        <w:ind w:firstLine="709"/>
        <w:jc w:val="both"/>
        <w:rPr>
          <w:rFonts w:ascii="Times New Roman" w:hAnsi="Times New Roman" w:cs="Times New Roman"/>
          <w:sz w:val="28"/>
          <w:szCs w:val="28"/>
        </w:rPr>
      </w:pPr>
    </w:p>
    <w:tbl>
      <w:tblPr>
        <w:tblStyle w:val="a3"/>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E777D" w:rsidRPr="00885FD2" w:rsidTr="001E3463">
        <w:tc>
          <w:tcPr>
            <w:tcW w:w="3652" w:type="dxa"/>
            <w:hideMark/>
          </w:tcPr>
          <w:p w:rsidR="003E777D" w:rsidRPr="009C1174" w:rsidRDefault="003E777D" w:rsidP="009F1E20">
            <w:pPr>
              <w:spacing w:line="240" w:lineRule="auto"/>
              <w:ind w:firstLine="709"/>
              <w:rPr>
                <w:rFonts w:ascii="Times New Roman" w:hAnsi="Times New Roman" w:cs="Times New Roman"/>
                <w:b/>
                <w:sz w:val="28"/>
                <w:szCs w:val="28"/>
              </w:rPr>
            </w:pPr>
            <w:r w:rsidRPr="009C1174">
              <w:rPr>
                <w:rFonts w:ascii="Times New Roman" w:hAnsi="Times New Roman" w:cs="Times New Roman"/>
                <w:b/>
                <w:sz w:val="28"/>
                <w:szCs w:val="28"/>
              </w:rPr>
              <w:t>Должность</w:t>
            </w:r>
          </w:p>
        </w:tc>
        <w:tc>
          <w:tcPr>
            <w:tcW w:w="2126" w:type="dxa"/>
          </w:tcPr>
          <w:p w:rsidR="003E777D" w:rsidRPr="009C1174" w:rsidRDefault="003E777D" w:rsidP="009F1E20">
            <w:pPr>
              <w:spacing w:line="240" w:lineRule="auto"/>
              <w:ind w:firstLine="709"/>
              <w:rPr>
                <w:rFonts w:ascii="Times New Roman" w:hAnsi="Times New Roman" w:cs="Times New Roman"/>
                <w:b/>
                <w:sz w:val="28"/>
                <w:szCs w:val="28"/>
              </w:rPr>
            </w:pPr>
          </w:p>
        </w:tc>
        <w:tc>
          <w:tcPr>
            <w:tcW w:w="3152" w:type="dxa"/>
            <w:hideMark/>
          </w:tcPr>
          <w:p w:rsidR="003E777D" w:rsidRPr="00885FD2" w:rsidRDefault="003E777D" w:rsidP="009F1E20">
            <w:pPr>
              <w:spacing w:line="240" w:lineRule="auto"/>
              <w:ind w:firstLine="709"/>
              <w:rPr>
                <w:rFonts w:ascii="Times New Roman" w:hAnsi="Times New Roman" w:cs="Times New Roman"/>
                <w:b/>
                <w:sz w:val="28"/>
                <w:szCs w:val="28"/>
              </w:rPr>
            </w:pPr>
            <w:r w:rsidRPr="009C1174">
              <w:rPr>
                <w:rFonts w:ascii="Times New Roman" w:hAnsi="Times New Roman" w:cs="Times New Roman"/>
                <w:b/>
                <w:sz w:val="28"/>
                <w:szCs w:val="28"/>
              </w:rPr>
              <w:t>ФИО</w:t>
            </w:r>
          </w:p>
        </w:tc>
      </w:tr>
    </w:tbl>
    <w:p w:rsidR="006340FA" w:rsidRDefault="006340FA" w:rsidP="009F1E20">
      <w:pPr>
        <w:spacing w:line="240" w:lineRule="auto"/>
      </w:pPr>
    </w:p>
    <w:sectPr w:rsidR="006340FA" w:rsidSect="00D721E7">
      <w:headerReference w:type="default" r:id="rId6"/>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227" w:rsidRDefault="00191227" w:rsidP="00D721E7">
      <w:pPr>
        <w:spacing w:after="0" w:line="240" w:lineRule="auto"/>
      </w:pPr>
      <w:r>
        <w:separator/>
      </w:r>
    </w:p>
  </w:endnote>
  <w:endnote w:type="continuationSeparator" w:id="0">
    <w:p w:rsidR="00191227" w:rsidRDefault="00191227" w:rsidP="00D72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227" w:rsidRDefault="00191227" w:rsidP="00D721E7">
      <w:pPr>
        <w:spacing w:after="0" w:line="240" w:lineRule="auto"/>
      </w:pPr>
      <w:r>
        <w:separator/>
      </w:r>
    </w:p>
  </w:footnote>
  <w:footnote w:type="continuationSeparator" w:id="0">
    <w:p w:rsidR="00191227" w:rsidRDefault="00191227" w:rsidP="00D72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7494393"/>
      <w:docPartObj>
        <w:docPartGallery w:val="Page Numbers (Top of Page)"/>
        <w:docPartUnique/>
      </w:docPartObj>
    </w:sdtPr>
    <w:sdtEndPr/>
    <w:sdtContent>
      <w:p w:rsidR="00D721E7" w:rsidRDefault="00D721E7">
        <w:pPr>
          <w:pStyle w:val="a4"/>
          <w:jc w:val="center"/>
        </w:pPr>
        <w:r>
          <w:fldChar w:fldCharType="begin"/>
        </w:r>
        <w:r>
          <w:instrText>PAGE   \* MERGEFORMAT</w:instrText>
        </w:r>
        <w:r>
          <w:fldChar w:fldCharType="separate"/>
        </w:r>
        <w:r w:rsidR="008B600E">
          <w:rPr>
            <w:noProof/>
          </w:rPr>
          <w:t>7</w:t>
        </w:r>
        <w:r>
          <w:fldChar w:fldCharType="end"/>
        </w:r>
      </w:p>
    </w:sdtContent>
  </w:sdt>
  <w:p w:rsidR="00D721E7" w:rsidRDefault="00D721E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77D"/>
    <w:rsid w:val="00030A85"/>
    <w:rsid w:val="00191227"/>
    <w:rsid w:val="001D2F6A"/>
    <w:rsid w:val="001E5A25"/>
    <w:rsid w:val="003E777D"/>
    <w:rsid w:val="003F56EC"/>
    <w:rsid w:val="004A1D89"/>
    <w:rsid w:val="005E373C"/>
    <w:rsid w:val="006340FA"/>
    <w:rsid w:val="008B600E"/>
    <w:rsid w:val="009C1174"/>
    <w:rsid w:val="009F1E20"/>
    <w:rsid w:val="00D4316F"/>
    <w:rsid w:val="00D532D0"/>
    <w:rsid w:val="00D721E7"/>
    <w:rsid w:val="00F25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54D0D"/>
  <w15:chartTrackingRefBased/>
  <w15:docId w15:val="{13FF4C04-AC2D-47BE-896E-F8439378A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77D"/>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777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721E7"/>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D721E7"/>
    <w:rPr>
      <w:lang w:val="ru-RU"/>
    </w:rPr>
  </w:style>
  <w:style w:type="paragraph" w:styleId="a6">
    <w:name w:val="footer"/>
    <w:basedOn w:val="a"/>
    <w:link w:val="a7"/>
    <w:uiPriority w:val="99"/>
    <w:unhideWhenUsed/>
    <w:rsid w:val="00D721E7"/>
    <w:pPr>
      <w:tabs>
        <w:tab w:val="center" w:pos="4844"/>
        <w:tab w:val="right" w:pos="9689"/>
      </w:tabs>
      <w:spacing w:after="0" w:line="240" w:lineRule="auto"/>
    </w:pPr>
  </w:style>
  <w:style w:type="character" w:customStyle="1" w:styleId="a7">
    <w:name w:val="Нижний колонтитул Знак"/>
    <w:basedOn w:val="a0"/>
    <w:link w:val="a6"/>
    <w:uiPriority w:val="99"/>
    <w:rsid w:val="00D721E7"/>
    <w:rPr>
      <w:lang w:val="ru-RU"/>
    </w:rPr>
  </w:style>
  <w:style w:type="paragraph" w:styleId="a8">
    <w:name w:val="Balloon Text"/>
    <w:basedOn w:val="a"/>
    <w:link w:val="a9"/>
    <w:uiPriority w:val="99"/>
    <w:semiHidden/>
    <w:unhideWhenUsed/>
    <w:rsid w:val="00D721E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721E7"/>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2378</Words>
  <Characters>13555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Жабагибаева Диана  Армановна</dc:creator>
  <cp:keywords/>
  <dc:description/>
  <cp:lastModifiedBy>Жабагибаева Диана  Армановна</cp:lastModifiedBy>
  <cp:revision>7</cp:revision>
  <cp:lastPrinted>2026-04-22T04:37:00Z</cp:lastPrinted>
  <dcterms:created xsi:type="dcterms:W3CDTF">2026-04-22T04:25:00Z</dcterms:created>
  <dcterms:modified xsi:type="dcterms:W3CDTF">2026-04-22T10:22:00Z</dcterms:modified>
</cp:coreProperties>
</file>